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C6" w:rsidRPr="00FF32B2" w:rsidRDefault="00A664C6" w:rsidP="00A664C6">
      <w:pPr>
        <w:ind w:left="-567" w:right="-567" w:firstLine="567"/>
        <w:jc w:val="center"/>
        <w:rPr>
          <w:b/>
          <w:i/>
          <w:sz w:val="48"/>
          <w:szCs w:val="48"/>
          <w:u w:val="single"/>
        </w:rPr>
      </w:pPr>
      <w:r w:rsidRPr="00FF32B2">
        <w:rPr>
          <w:b/>
          <w:i/>
          <w:sz w:val="48"/>
          <w:szCs w:val="48"/>
          <w:u w:val="single"/>
        </w:rPr>
        <w:t>L’Etat Civil sous l’Ancien Régime</w:t>
      </w:r>
    </w:p>
    <w:p w:rsidR="00A664C6" w:rsidRDefault="00A664C6" w:rsidP="002D1443">
      <w:pPr>
        <w:ind w:left="-567" w:right="-567" w:firstLine="567"/>
        <w:jc w:val="both"/>
        <w:rPr>
          <w:sz w:val="28"/>
          <w:szCs w:val="28"/>
        </w:rPr>
      </w:pPr>
    </w:p>
    <w:p w:rsidR="002D1443" w:rsidRPr="00855F6C" w:rsidRDefault="00B6376C" w:rsidP="00771378">
      <w:pPr>
        <w:ind w:left="-567" w:right="-567" w:firstLine="567"/>
        <w:jc w:val="both"/>
        <w:rPr>
          <w:rFonts w:eastAsiaTheme="minorEastAsia"/>
          <w:sz w:val="24"/>
          <w:szCs w:val="24"/>
        </w:rPr>
      </w:pPr>
      <w:r w:rsidRPr="00855F6C">
        <w:rPr>
          <w:sz w:val="24"/>
          <w:szCs w:val="24"/>
        </w:rPr>
        <w:t>Jusqu’au</w:t>
      </w:r>
      <w:r w:rsidR="005F53D4" w:rsidRPr="00855F6C">
        <w:rPr>
          <w:sz w:val="24"/>
          <w:szCs w:val="24"/>
        </w:rPr>
        <w:t xml:space="preserve"> début du 16° siècle il n’était guère tenu de registres relatifs aux naissances, mariages et décès. Ce n’est que sou</w:t>
      </w:r>
      <w:r w:rsidRPr="00855F6C">
        <w:rPr>
          <w:sz w:val="24"/>
          <w:szCs w:val="24"/>
        </w:rPr>
        <w:t>s le règne de François 1</w:t>
      </w:r>
      <w:r w:rsidRPr="00855F6C">
        <w:rPr>
          <w:rFonts w:eastAsiaTheme="minorEastAsia"/>
          <w:sz w:val="24"/>
          <w:szCs w:val="24"/>
          <w:vertAlign w:val="superscript"/>
        </w:rPr>
        <w:t>er</w:t>
      </w:r>
      <w:r w:rsidRPr="00855F6C">
        <w:rPr>
          <w:rFonts w:eastAsiaTheme="minorEastAsia"/>
          <w:sz w:val="24"/>
          <w:szCs w:val="24"/>
        </w:rPr>
        <w:t xml:space="preserve"> que des registres de baptêmes ont été imposés. </w:t>
      </w:r>
      <w:r w:rsidR="00A7000F" w:rsidRPr="00855F6C">
        <w:rPr>
          <w:rFonts w:eastAsiaTheme="minorEastAsia"/>
          <w:sz w:val="24"/>
          <w:szCs w:val="24"/>
        </w:rPr>
        <w:t>C’est du château  de Villers-Cotterêts, dans l’Aisne, où se rendait souvent le roi pour y pratiquer la chasse, qu’en aoû</w:t>
      </w:r>
      <w:r w:rsidRPr="00855F6C">
        <w:rPr>
          <w:rFonts w:eastAsiaTheme="minorEastAsia"/>
          <w:sz w:val="24"/>
          <w:szCs w:val="24"/>
        </w:rPr>
        <w:t>t 1539</w:t>
      </w:r>
      <w:r w:rsidR="00A7000F" w:rsidRPr="00855F6C">
        <w:rPr>
          <w:rFonts w:eastAsiaTheme="minorEastAsia"/>
          <w:sz w:val="24"/>
          <w:szCs w:val="24"/>
        </w:rPr>
        <w:t xml:space="preserve"> il signe </w:t>
      </w:r>
      <w:r w:rsidR="002D1443" w:rsidRPr="00855F6C">
        <w:rPr>
          <w:rFonts w:eastAsiaTheme="minorEastAsia"/>
          <w:sz w:val="24"/>
          <w:szCs w:val="24"/>
        </w:rPr>
        <w:t>L’</w:t>
      </w:r>
      <w:r w:rsidR="002D1443" w:rsidRPr="00855F6C">
        <w:rPr>
          <w:rFonts w:eastAsiaTheme="minorEastAsia"/>
          <w:b/>
          <w:sz w:val="24"/>
          <w:szCs w:val="24"/>
        </w:rPr>
        <w:t>Ordonnance</w:t>
      </w:r>
      <w:r w:rsidR="002D1443" w:rsidRPr="00855F6C">
        <w:rPr>
          <w:rFonts w:eastAsiaTheme="minorEastAsia"/>
          <w:sz w:val="24"/>
          <w:szCs w:val="24"/>
        </w:rPr>
        <w:t xml:space="preserve">   </w:t>
      </w:r>
      <w:r w:rsidR="002D1443" w:rsidRPr="00855F6C">
        <w:rPr>
          <w:rFonts w:eastAsiaTheme="minorEastAsia"/>
          <w:b/>
          <w:sz w:val="24"/>
          <w:szCs w:val="24"/>
        </w:rPr>
        <w:t>de Villers-Cotterêts</w:t>
      </w:r>
      <w:r w:rsidRPr="00855F6C">
        <w:rPr>
          <w:rFonts w:eastAsiaTheme="minorEastAsia"/>
          <w:sz w:val="24"/>
          <w:szCs w:val="24"/>
        </w:rPr>
        <w:t xml:space="preserve"> </w:t>
      </w:r>
      <w:r w:rsidR="002D1443" w:rsidRPr="00855F6C">
        <w:rPr>
          <w:rFonts w:eastAsiaTheme="minorEastAsia"/>
          <w:sz w:val="24"/>
          <w:szCs w:val="24"/>
        </w:rPr>
        <w:t xml:space="preserve">qui </w:t>
      </w:r>
      <w:r w:rsidR="00A7000F" w:rsidRPr="00855F6C">
        <w:rPr>
          <w:rFonts w:eastAsiaTheme="minorEastAsia"/>
          <w:sz w:val="24"/>
          <w:szCs w:val="24"/>
        </w:rPr>
        <w:t>impose qu’en France soit tenu, dans chaque paroisse, un registre</w:t>
      </w:r>
      <w:r w:rsidR="002D1443" w:rsidRPr="00855F6C">
        <w:rPr>
          <w:rFonts w:eastAsiaTheme="minorEastAsia"/>
          <w:sz w:val="24"/>
          <w:szCs w:val="24"/>
        </w:rPr>
        <w:t xml:space="preserve"> des baptêmes. Cette Ordonnance comporte 192 articles dont le 51</w:t>
      </w:r>
      <w:r w:rsidR="002D1443" w:rsidRPr="00855F6C">
        <w:rPr>
          <w:rFonts w:eastAsiaTheme="minorEastAsia"/>
          <w:sz w:val="24"/>
          <w:szCs w:val="24"/>
          <w:vertAlign w:val="superscript"/>
        </w:rPr>
        <w:t>ième</w:t>
      </w:r>
      <w:r w:rsidR="002D1443" w:rsidRPr="00855F6C">
        <w:rPr>
          <w:rFonts w:eastAsiaTheme="minorEastAsia"/>
          <w:sz w:val="24"/>
          <w:szCs w:val="24"/>
        </w:rPr>
        <w:t xml:space="preserve"> est relatif à l’inscription des </w:t>
      </w:r>
      <w:r w:rsidR="007F31C2" w:rsidRPr="00855F6C">
        <w:rPr>
          <w:rFonts w:eastAsiaTheme="minorEastAsia"/>
          <w:sz w:val="24"/>
          <w:szCs w:val="24"/>
        </w:rPr>
        <w:t>naissances</w:t>
      </w:r>
      <w:r w:rsidR="002D1443" w:rsidRPr="00855F6C">
        <w:rPr>
          <w:rFonts w:eastAsiaTheme="minorEastAsia"/>
          <w:sz w:val="24"/>
          <w:szCs w:val="24"/>
        </w:rPr>
        <w:t xml:space="preserve"> sur des registres tenus par les curés.</w:t>
      </w:r>
    </w:p>
    <w:p w:rsidR="00BB5D4B" w:rsidRPr="00855F6C" w:rsidRDefault="002D1443" w:rsidP="00771378">
      <w:pPr>
        <w:ind w:left="-567" w:right="-567" w:firstLine="567"/>
        <w:jc w:val="both"/>
        <w:rPr>
          <w:rFonts w:eastAsiaTheme="minorEastAsia"/>
          <w:sz w:val="24"/>
          <w:szCs w:val="24"/>
        </w:rPr>
      </w:pPr>
      <w:r w:rsidRPr="00855F6C">
        <w:rPr>
          <w:rFonts w:eastAsiaTheme="minorEastAsia"/>
          <w:sz w:val="24"/>
          <w:szCs w:val="24"/>
        </w:rPr>
        <w:t>Article 51 : « Aussi sera faict registres, en forme</w:t>
      </w:r>
      <w:r w:rsidR="007F31C2" w:rsidRPr="00855F6C">
        <w:rPr>
          <w:rFonts w:eastAsiaTheme="minorEastAsia"/>
          <w:sz w:val="24"/>
          <w:szCs w:val="24"/>
        </w:rPr>
        <w:t xml:space="preserve"> de preuve, des baptesmes qui contiendront le temps et l’heure de la nativité, et par l’extrait dudit registre, se pourra prouver le temps de majorité ou minorité, et sera pleine foy à cette fin. »</w:t>
      </w:r>
    </w:p>
    <w:p w:rsidR="00BB5D4B" w:rsidRPr="00855F6C" w:rsidRDefault="00BB5D4B" w:rsidP="00771378">
      <w:pPr>
        <w:ind w:left="-567" w:right="-567" w:firstLine="567"/>
        <w:jc w:val="both"/>
        <w:rPr>
          <w:rFonts w:eastAsiaTheme="minorEastAsia"/>
          <w:sz w:val="24"/>
          <w:szCs w:val="24"/>
        </w:rPr>
      </w:pPr>
      <w:r w:rsidRPr="00855F6C">
        <w:rPr>
          <w:rFonts w:eastAsiaTheme="minorEastAsia"/>
          <w:sz w:val="24"/>
          <w:szCs w:val="24"/>
        </w:rPr>
        <w:t>Cet a</w:t>
      </w:r>
      <w:r w:rsidR="0066785D" w:rsidRPr="00855F6C">
        <w:rPr>
          <w:rFonts w:eastAsiaTheme="minorEastAsia"/>
          <w:sz w:val="24"/>
          <w:szCs w:val="24"/>
        </w:rPr>
        <w:t>r</w:t>
      </w:r>
      <w:r w:rsidRPr="00855F6C">
        <w:rPr>
          <w:rFonts w:eastAsiaTheme="minorEastAsia"/>
          <w:sz w:val="24"/>
          <w:szCs w:val="24"/>
        </w:rPr>
        <w:t>ticle, même s’il ne concerne que les baptêmes</w:t>
      </w:r>
      <w:r w:rsidR="006B3646">
        <w:rPr>
          <w:rFonts w:eastAsiaTheme="minorEastAsia"/>
          <w:sz w:val="24"/>
          <w:szCs w:val="24"/>
        </w:rPr>
        <w:t xml:space="preserve"> est l’ancêtre de notre actuel Etat C</w:t>
      </w:r>
      <w:r w:rsidRPr="00855F6C">
        <w:rPr>
          <w:rFonts w:eastAsiaTheme="minorEastAsia"/>
          <w:sz w:val="24"/>
          <w:szCs w:val="24"/>
        </w:rPr>
        <w:t>ivil.</w:t>
      </w:r>
    </w:p>
    <w:p w:rsidR="00BC2EB3" w:rsidRPr="00855F6C" w:rsidRDefault="00BB5D4B" w:rsidP="00771378">
      <w:pPr>
        <w:ind w:left="-567" w:right="-567" w:firstLine="567"/>
        <w:jc w:val="both"/>
        <w:rPr>
          <w:rFonts w:eastAsiaTheme="minorEastAsia"/>
          <w:sz w:val="24"/>
          <w:szCs w:val="24"/>
        </w:rPr>
      </w:pPr>
      <w:r w:rsidRPr="00855F6C">
        <w:rPr>
          <w:rFonts w:eastAsiaTheme="minorEastAsia"/>
          <w:sz w:val="24"/>
          <w:szCs w:val="24"/>
        </w:rPr>
        <w:t>Cette ordonnance, si elle s’adressait à tous, ignorait de fait les sujets qui n’appartenaient pas à la religion catholique. Nous étions alors au temps de l’église réformée pourchassée</w:t>
      </w:r>
      <w:r w:rsidR="006B3646">
        <w:rPr>
          <w:rFonts w:eastAsiaTheme="minorEastAsia"/>
          <w:sz w:val="24"/>
          <w:szCs w:val="24"/>
        </w:rPr>
        <w:t xml:space="preserve"> par la royauté et le catholicisme ;</w:t>
      </w:r>
      <w:r w:rsidRPr="00855F6C">
        <w:rPr>
          <w:rFonts w:eastAsiaTheme="minorEastAsia"/>
          <w:sz w:val="24"/>
          <w:szCs w:val="24"/>
        </w:rPr>
        <w:t xml:space="preserve"> il n’était </w:t>
      </w:r>
      <w:r w:rsidR="006B3646">
        <w:rPr>
          <w:rFonts w:eastAsiaTheme="minorEastAsia"/>
          <w:sz w:val="24"/>
          <w:szCs w:val="24"/>
        </w:rPr>
        <w:t xml:space="preserve">donc </w:t>
      </w:r>
      <w:r w:rsidRPr="00855F6C">
        <w:rPr>
          <w:rFonts w:eastAsiaTheme="minorEastAsia"/>
          <w:sz w:val="24"/>
          <w:szCs w:val="24"/>
        </w:rPr>
        <w:t>pas concevable qu’un curé puisse baptiser et inscrire sur le registre paroissial un nouveau-né dont la famille était protestante</w:t>
      </w:r>
      <w:r w:rsidR="00BC2EB3" w:rsidRPr="00855F6C">
        <w:rPr>
          <w:rFonts w:eastAsiaTheme="minorEastAsia"/>
          <w:sz w:val="24"/>
          <w:szCs w:val="24"/>
        </w:rPr>
        <w:t>.</w:t>
      </w:r>
    </w:p>
    <w:p w:rsidR="007C66EF" w:rsidRPr="00855F6C" w:rsidRDefault="00BC2EB3" w:rsidP="00771378">
      <w:pPr>
        <w:ind w:left="-567" w:right="-567" w:firstLine="567"/>
        <w:jc w:val="both"/>
        <w:rPr>
          <w:rFonts w:eastAsiaTheme="minorEastAsia"/>
          <w:sz w:val="24"/>
          <w:szCs w:val="24"/>
        </w:rPr>
      </w:pPr>
      <w:r w:rsidRPr="00855F6C">
        <w:rPr>
          <w:rFonts w:eastAsiaTheme="minorEastAsia"/>
          <w:sz w:val="24"/>
          <w:szCs w:val="24"/>
        </w:rPr>
        <w:t xml:space="preserve">Il se peut donc que des généalogistes ne retrouvent pas leurs ancêtres dans les registres paroissiaux </w:t>
      </w:r>
      <w:r w:rsidR="006B3646">
        <w:rPr>
          <w:rFonts w:eastAsiaTheme="minorEastAsia"/>
          <w:sz w:val="24"/>
          <w:szCs w:val="24"/>
        </w:rPr>
        <w:t xml:space="preserve">existants </w:t>
      </w:r>
      <w:r w:rsidRPr="00855F6C">
        <w:rPr>
          <w:rFonts w:eastAsiaTheme="minorEastAsia"/>
          <w:sz w:val="24"/>
          <w:szCs w:val="24"/>
        </w:rPr>
        <w:t>de cette époque</w:t>
      </w:r>
      <w:r w:rsidR="006B3646">
        <w:rPr>
          <w:rFonts w:eastAsiaTheme="minorEastAsia"/>
          <w:sz w:val="24"/>
          <w:szCs w:val="24"/>
        </w:rPr>
        <w:t xml:space="preserve"> </w:t>
      </w:r>
      <w:r w:rsidR="007C66EF" w:rsidRPr="00855F6C">
        <w:rPr>
          <w:rFonts w:eastAsiaTheme="minorEastAsia"/>
          <w:sz w:val="24"/>
          <w:szCs w:val="24"/>
        </w:rPr>
        <w:t>s’ils étaient de religion calviniste bien que, parfois, des protestants aient tenus des registres plus ou moins difficiles à trouver.</w:t>
      </w:r>
    </w:p>
    <w:p w:rsidR="007C66EF" w:rsidRPr="00855F6C" w:rsidRDefault="007C66EF" w:rsidP="00771378">
      <w:pPr>
        <w:ind w:left="-567" w:right="-567" w:firstLine="567"/>
        <w:jc w:val="both"/>
        <w:rPr>
          <w:rFonts w:eastAsiaTheme="minorEastAsia"/>
          <w:sz w:val="24"/>
          <w:szCs w:val="24"/>
        </w:rPr>
      </w:pPr>
      <w:r w:rsidRPr="00855F6C">
        <w:rPr>
          <w:rFonts w:eastAsiaTheme="minorEastAsia"/>
          <w:sz w:val="24"/>
          <w:szCs w:val="24"/>
        </w:rPr>
        <w:t xml:space="preserve">L’article 111 de </w:t>
      </w:r>
      <w:r w:rsidRPr="00855F6C">
        <w:rPr>
          <w:rFonts w:eastAsiaTheme="minorEastAsia"/>
          <w:b/>
          <w:sz w:val="24"/>
          <w:szCs w:val="24"/>
        </w:rPr>
        <w:t xml:space="preserve">l’Ordonnance de Villers-Cotterêts  </w:t>
      </w:r>
      <w:r w:rsidRPr="00855F6C">
        <w:rPr>
          <w:rFonts w:eastAsiaTheme="minorEastAsia"/>
          <w:sz w:val="24"/>
          <w:szCs w:val="24"/>
        </w:rPr>
        <w:t xml:space="preserve">est aussi de la plus grande importance puisqu‘elle impose que tous les arrêts, contrats, sentences, testaments, registres et autres procédures soient enregistrés et délivrés « en langage maternel </w:t>
      </w:r>
      <w:r w:rsidRPr="006B3646">
        <w:rPr>
          <w:rFonts w:eastAsiaTheme="minorEastAsia"/>
          <w:b/>
          <w:i/>
          <w:sz w:val="24"/>
          <w:szCs w:val="24"/>
        </w:rPr>
        <w:t>françois</w:t>
      </w:r>
      <w:r w:rsidRPr="00855F6C">
        <w:rPr>
          <w:rFonts w:eastAsiaTheme="minorEastAsia"/>
          <w:sz w:val="24"/>
          <w:szCs w:val="24"/>
        </w:rPr>
        <w:t xml:space="preserve"> et non autrement</w:t>
      </w:r>
      <w:r w:rsidR="001958B5" w:rsidRPr="00855F6C">
        <w:rPr>
          <w:rFonts w:eastAsiaTheme="minorEastAsia"/>
          <w:sz w:val="24"/>
          <w:szCs w:val="24"/>
        </w:rPr>
        <w:t>. »</w:t>
      </w:r>
    </w:p>
    <w:p w:rsidR="00FB30FD" w:rsidRPr="00855F6C" w:rsidRDefault="00FB30FD" w:rsidP="00771378">
      <w:pPr>
        <w:ind w:left="-567" w:right="-567" w:firstLine="567"/>
        <w:jc w:val="both"/>
        <w:rPr>
          <w:rFonts w:eastAsiaTheme="minorEastAsia"/>
          <w:sz w:val="24"/>
          <w:szCs w:val="24"/>
        </w:rPr>
      </w:pPr>
      <w:r w:rsidRPr="00855F6C">
        <w:rPr>
          <w:rFonts w:eastAsiaTheme="minorEastAsia"/>
          <w:sz w:val="24"/>
          <w:szCs w:val="24"/>
        </w:rPr>
        <w:t>De ce fait, les registres de baptêmes seront tenus en langue française et non en latin comme c’était souvent le cas pour les actes juridiques avant 1539. La langue française était officialisée sur le territoire bien que</w:t>
      </w:r>
      <w:r w:rsidR="006B3646">
        <w:rPr>
          <w:rFonts w:eastAsiaTheme="minorEastAsia"/>
          <w:sz w:val="24"/>
          <w:szCs w:val="24"/>
        </w:rPr>
        <w:t xml:space="preserve"> </w:t>
      </w:r>
      <w:r w:rsidRPr="00855F6C">
        <w:rPr>
          <w:rFonts w:eastAsiaTheme="minorEastAsia"/>
          <w:sz w:val="24"/>
          <w:szCs w:val="24"/>
        </w:rPr>
        <w:t>…</w:t>
      </w:r>
    </w:p>
    <w:p w:rsidR="00FB30FD" w:rsidRPr="00855F6C" w:rsidRDefault="00FB30FD" w:rsidP="00771378">
      <w:pPr>
        <w:ind w:left="-567" w:right="-567" w:firstLine="567"/>
        <w:jc w:val="both"/>
        <w:rPr>
          <w:rFonts w:eastAsiaTheme="minorEastAsia"/>
          <w:sz w:val="24"/>
          <w:szCs w:val="24"/>
        </w:rPr>
      </w:pPr>
      <w:r w:rsidRPr="00855F6C">
        <w:rPr>
          <w:rFonts w:eastAsiaTheme="minorEastAsia"/>
          <w:sz w:val="24"/>
          <w:szCs w:val="24"/>
        </w:rPr>
        <w:t xml:space="preserve">Pour retrouver </w:t>
      </w:r>
      <w:r w:rsidRPr="00855F6C">
        <w:rPr>
          <w:rFonts w:eastAsiaTheme="minorEastAsia"/>
          <w:b/>
          <w:sz w:val="24"/>
          <w:szCs w:val="24"/>
        </w:rPr>
        <w:t>l’Ordonnance de Villers-Cotterêts</w:t>
      </w:r>
      <w:r w:rsidRPr="00855F6C">
        <w:rPr>
          <w:rFonts w:eastAsiaTheme="minorEastAsia"/>
          <w:sz w:val="24"/>
          <w:szCs w:val="24"/>
        </w:rPr>
        <w:t xml:space="preserve"> en intégralité :</w:t>
      </w:r>
    </w:p>
    <w:p w:rsidR="00FB30FD" w:rsidRPr="00855F6C" w:rsidRDefault="00FB30FD" w:rsidP="00771378">
      <w:pPr>
        <w:ind w:left="-567" w:right="-567" w:firstLine="567"/>
        <w:jc w:val="both"/>
        <w:rPr>
          <w:rFonts w:eastAsiaTheme="minorEastAsia"/>
          <w:sz w:val="24"/>
          <w:szCs w:val="24"/>
        </w:rPr>
      </w:pPr>
      <w:r w:rsidRPr="00855F6C">
        <w:rPr>
          <w:rFonts w:eastAsiaTheme="minorEastAsia"/>
          <w:sz w:val="24"/>
          <w:szCs w:val="24"/>
        </w:rPr>
        <w:t>Fr.wikisource.org/wiki/Ordonnance_de_Villers-Cotterêts</w:t>
      </w:r>
    </w:p>
    <w:p w:rsidR="000E43D3" w:rsidRPr="00855F6C" w:rsidRDefault="000E43D3" w:rsidP="00771378">
      <w:pPr>
        <w:ind w:left="-567" w:right="-567" w:firstLine="567"/>
        <w:jc w:val="both"/>
        <w:rPr>
          <w:rFonts w:eastAsiaTheme="minorEastAsia"/>
          <w:sz w:val="24"/>
          <w:szCs w:val="24"/>
        </w:rPr>
      </w:pPr>
      <w:r w:rsidRPr="00855F6C">
        <w:rPr>
          <w:rFonts w:eastAsiaTheme="minorEastAsia"/>
          <w:sz w:val="24"/>
          <w:szCs w:val="24"/>
        </w:rPr>
        <w:t xml:space="preserve">C’est quarante ans plus tard, en 1579, que Henri III, promulgua </w:t>
      </w:r>
      <w:r w:rsidRPr="00855F6C">
        <w:rPr>
          <w:rFonts w:eastAsiaTheme="minorEastAsia"/>
          <w:b/>
          <w:sz w:val="24"/>
          <w:szCs w:val="24"/>
        </w:rPr>
        <w:t>l’Ordonnance de Blois</w:t>
      </w:r>
      <w:r w:rsidRPr="00855F6C">
        <w:rPr>
          <w:rFonts w:eastAsiaTheme="minorEastAsia"/>
          <w:sz w:val="24"/>
          <w:szCs w:val="24"/>
        </w:rPr>
        <w:t xml:space="preserve"> imposant un registre des mariages qui ne pourraient avoir lieu qu’après publication de bans, en présence d’un curé et de témoins afin d’éviter les mariages multiples et consanguins ainsi que les mariages entre</w:t>
      </w:r>
      <w:r w:rsidR="005F730A" w:rsidRPr="00855F6C">
        <w:rPr>
          <w:rFonts w:eastAsiaTheme="minorEastAsia"/>
          <w:sz w:val="24"/>
          <w:szCs w:val="24"/>
        </w:rPr>
        <w:t xml:space="preserve"> </w:t>
      </w:r>
      <w:r w:rsidRPr="00855F6C">
        <w:rPr>
          <w:rFonts w:eastAsiaTheme="minorEastAsia"/>
          <w:sz w:val="24"/>
          <w:szCs w:val="24"/>
        </w:rPr>
        <w:t>catholiques et protestants. De même, les sépultures devraient être enregistrées sur des registres.</w:t>
      </w:r>
    </w:p>
    <w:p w:rsidR="000E43D3" w:rsidRPr="00855F6C" w:rsidRDefault="000E43D3" w:rsidP="00771378">
      <w:pPr>
        <w:ind w:left="-567" w:right="-567" w:firstLine="567"/>
        <w:jc w:val="both"/>
        <w:rPr>
          <w:rFonts w:eastAsiaTheme="minorEastAsia"/>
          <w:sz w:val="24"/>
          <w:szCs w:val="24"/>
        </w:rPr>
      </w:pPr>
      <w:r w:rsidRPr="00855F6C">
        <w:rPr>
          <w:rFonts w:eastAsiaTheme="minorEastAsia"/>
          <w:sz w:val="24"/>
          <w:szCs w:val="24"/>
        </w:rPr>
        <w:t>Les cimetières étant paroissiaux</w:t>
      </w:r>
      <w:r w:rsidR="005F730A" w:rsidRPr="00855F6C">
        <w:rPr>
          <w:rFonts w:eastAsiaTheme="minorEastAsia"/>
          <w:sz w:val="24"/>
          <w:szCs w:val="24"/>
        </w:rPr>
        <w:t>, les protestants continuaient d’enterrer leurs défunts dans des cimetières privés dans leurs propriétés.</w:t>
      </w:r>
    </w:p>
    <w:p w:rsidR="005F730A" w:rsidRPr="00855F6C" w:rsidRDefault="005F730A" w:rsidP="00771378">
      <w:pPr>
        <w:ind w:left="-567" w:right="-567" w:firstLine="567"/>
        <w:jc w:val="both"/>
        <w:rPr>
          <w:rFonts w:eastAsiaTheme="minorEastAsia"/>
          <w:sz w:val="24"/>
          <w:szCs w:val="24"/>
        </w:rPr>
      </w:pPr>
      <w:r w:rsidRPr="00855F6C">
        <w:rPr>
          <w:rFonts w:eastAsiaTheme="minorEastAsia"/>
          <w:sz w:val="24"/>
          <w:szCs w:val="24"/>
        </w:rPr>
        <w:lastRenderedPageBreak/>
        <w:t>Tous ces registres, tenus le plus souvent en un seul exemplaire, n’étaient pas toujours transmis au greffe d’où la difficulté de les trouver et de les consulter.</w:t>
      </w:r>
    </w:p>
    <w:p w:rsidR="00735EBA" w:rsidRPr="00855F6C" w:rsidRDefault="00DA260D" w:rsidP="00771378">
      <w:pPr>
        <w:ind w:left="-567" w:right="-567" w:firstLine="567"/>
        <w:jc w:val="both"/>
        <w:rPr>
          <w:rFonts w:eastAsiaTheme="minorEastAsia"/>
          <w:sz w:val="24"/>
          <w:szCs w:val="24"/>
        </w:rPr>
      </w:pPr>
      <w:r w:rsidRPr="00855F6C">
        <w:rPr>
          <w:rFonts w:eastAsiaTheme="minorEastAsia"/>
          <w:sz w:val="24"/>
          <w:szCs w:val="24"/>
        </w:rPr>
        <w:t xml:space="preserve">C’est en 1667 que Louis XIV, dans </w:t>
      </w:r>
      <w:r w:rsidRPr="006B3646">
        <w:rPr>
          <w:rFonts w:eastAsiaTheme="minorEastAsia"/>
          <w:b/>
          <w:sz w:val="24"/>
          <w:szCs w:val="24"/>
        </w:rPr>
        <w:t>l’Ordonnance de Saint Germain en Laye</w:t>
      </w:r>
      <w:r w:rsidRPr="00855F6C">
        <w:rPr>
          <w:rFonts w:eastAsiaTheme="minorEastAsia"/>
          <w:sz w:val="24"/>
          <w:szCs w:val="24"/>
        </w:rPr>
        <w:t xml:space="preserve"> dit </w:t>
      </w:r>
      <w:r w:rsidRPr="00855F6C">
        <w:rPr>
          <w:rFonts w:eastAsiaTheme="minorEastAsia"/>
          <w:b/>
          <w:sz w:val="24"/>
          <w:szCs w:val="24"/>
        </w:rPr>
        <w:t>Code Louis</w:t>
      </w:r>
      <w:r w:rsidRPr="00855F6C">
        <w:rPr>
          <w:rFonts w:eastAsiaTheme="minorEastAsia"/>
          <w:sz w:val="24"/>
          <w:szCs w:val="24"/>
        </w:rPr>
        <w:t>, imposa l’uniformité des registres sur papier timbré.</w:t>
      </w:r>
    </w:p>
    <w:p w:rsidR="00735EBA" w:rsidRPr="00771378" w:rsidRDefault="00735EBA" w:rsidP="00771378">
      <w:pPr>
        <w:pStyle w:val="Paragraphedeliste"/>
        <w:numPr>
          <w:ilvl w:val="0"/>
          <w:numId w:val="1"/>
        </w:numPr>
        <w:ind w:right="-567"/>
        <w:jc w:val="both"/>
        <w:rPr>
          <w:rFonts w:eastAsiaTheme="minorEastAsia"/>
          <w:sz w:val="24"/>
          <w:szCs w:val="24"/>
        </w:rPr>
      </w:pPr>
      <w:r w:rsidRPr="00771378">
        <w:rPr>
          <w:rFonts w:eastAsiaTheme="minorEastAsia"/>
          <w:sz w:val="24"/>
          <w:szCs w:val="24"/>
        </w:rPr>
        <w:t>Les actes de baptême devront être signés par les parrains et marraines et le père (s’il est présent).</w:t>
      </w:r>
    </w:p>
    <w:p w:rsidR="00DA260D" w:rsidRPr="00771378" w:rsidRDefault="00735EBA" w:rsidP="00771378">
      <w:pPr>
        <w:pStyle w:val="Paragraphedeliste"/>
        <w:numPr>
          <w:ilvl w:val="0"/>
          <w:numId w:val="1"/>
        </w:numPr>
        <w:ind w:right="-567"/>
        <w:jc w:val="both"/>
        <w:rPr>
          <w:rFonts w:eastAsiaTheme="minorEastAsia"/>
          <w:sz w:val="24"/>
          <w:szCs w:val="24"/>
        </w:rPr>
      </w:pPr>
      <w:r w:rsidRPr="00771378">
        <w:rPr>
          <w:rFonts w:eastAsiaTheme="minorEastAsia"/>
          <w:sz w:val="24"/>
          <w:szCs w:val="24"/>
        </w:rPr>
        <w:t>Les actes de mariage seront signés par les mariés et les témoins.</w:t>
      </w:r>
    </w:p>
    <w:p w:rsidR="003D4F5B" w:rsidRPr="00771378" w:rsidRDefault="00735EBA" w:rsidP="00771378">
      <w:pPr>
        <w:pStyle w:val="Paragraphedeliste"/>
        <w:numPr>
          <w:ilvl w:val="0"/>
          <w:numId w:val="1"/>
        </w:numPr>
        <w:ind w:right="-567"/>
        <w:jc w:val="both"/>
        <w:rPr>
          <w:rFonts w:eastAsiaTheme="minorEastAsia"/>
          <w:sz w:val="24"/>
          <w:szCs w:val="24"/>
        </w:rPr>
      </w:pPr>
      <w:r w:rsidRPr="00771378">
        <w:rPr>
          <w:rFonts w:eastAsiaTheme="minorEastAsia"/>
          <w:sz w:val="24"/>
          <w:szCs w:val="24"/>
        </w:rPr>
        <w:t>Les actes de sépulture seront signés par des témoins, amis ou parents … mais peu de ces personnes savaient signer de leur nom à cette époque d’où les croix en bas des actes.</w:t>
      </w:r>
    </w:p>
    <w:p w:rsidR="00A23FBF" w:rsidRPr="003D4F5B" w:rsidRDefault="00735EBA" w:rsidP="00771378">
      <w:pPr>
        <w:ind w:left="-567" w:right="-567" w:firstLine="567"/>
        <w:jc w:val="both"/>
        <w:rPr>
          <w:rFonts w:eastAsiaTheme="minorEastAsia"/>
          <w:sz w:val="24"/>
          <w:szCs w:val="24"/>
        </w:rPr>
      </w:pPr>
      <w:r w:rsidRPr="003D4F5B">
        <w:rPr>
          <w:rFonts w:eastAsiaTheme="minorEastAsia"/>
          <w:sz w:val="24"/>
          <w:szCs w:val="24"/>
        </w:rPr>
        <w:t>Enfin dans une déclaration royale de 1736</w:t>
      </w:r>
      <w:r w:rsidR="00A23FBF" w:rsidRPr="003D4F5B">
        <w:rPr>
          <w:rFonts w:eastAsiaTheme="minorEastAsia"/>
          <w:sz w:val="24"/>
          <w:szCs w:val="24"/>
        </w:rPr>
        <w:t>, consacrée uniq</w:t>
      </w:r>
      <w:r w:rsidR="003D4F5B">
        <w:rPr>
          <w:rFonts w:eastAsiaTheme="minorEastAsia"/>
          <w:sz w:val="24"/>
          <w:szCs w:val="24"/>
        </w:rPr>
        <w:t xml:space="preserve">uement à l’état civil, Louis XV </w:t>
      </w:r>
      <w:r w:rsidR="00A23FBF" w:rsidRPr="003D4F5B">
        <w:rPr>
          <w:rFonts w:eastAsiaTheme="minorEastAsia"/>
          <w:sz w:val="24"/>
          <w:szCs w:val="24"/>
        </w:rPr>
        <w:t>imposa</w:t>
      </w:r>
      <w:r w:rsidR="003D4F5B" w:rsidRPr="003D4F5B">
        <w:rPr>
          <w:rFonts w:eastAsiaTheme="minorEastAsia"/>
          <w:sz w:val="24"/>
          <w:szCs w:val="24"/>
        </w:rPr>
        <w:t xml:space="preserve"> </w:t>
      </w:r>
      <w:r w:rsidR="00A23FBF" w:rsidRPr="003D4F5B">
        <w:rPr>
          <w:rFonts w:eastAsiaTheme="minorEastAsia"/>
          <w:sz w:val="24"/>
          <w:szCs w:val="24"/>
        </w:rPr>
        <w:t xml:space="preserve"> </w:t>
      </w:r>
      <w:bookmarkStart w:id="0" w:name="_GoBack"/>
      <w:bookmarkEnd w:id="0"/>
      <w:r w:rsidR="00A23FBF" w:rsidRPr="003D4F5B">
        <w:rPr>
          <w:rFonts w:eastAsiaTheme="minorEastAsia"/>
          <w:sz w:val="24"/>
          <w:szCs w:val="24"/>
        </w:rPr>
        <w:t xml:space="preserve">pour les actes de baptême, </w:t>
      </w:r>
      <w:r w:rsidR="00771378">
        <w:rPr>
          <w:rFonts w:eastAsiaTheme="minorEastAsia"/>
          <w:sz w:val="24"/>
          <w:szCs w:val="24"/>
        </w:rPr>
        <w:t>de mariage, de sépulture (B S M</w:t>
      </w:r>
      <w:r w:rsidR="00A23FBF" w:rsidRPr="003D4F5B">
        <w:rPr>
          <w:rFonts w:eastAsiaTheme="minorEastAsia"/>
          <w:sz w:val="24"/>
          <w:szCs w:val="24"/>
        </w:rPr>
        <w:t>) des registres en double exemplaire.</w:t>
      </w:r>
    </w:p>
    <w:p w:rsidR="00735EBA" w:rsidRPr="00771378" w:rsidRDefault="00A23FBF" w:rsidP="00771378">
      <w:pPr>
        <w:pStyle w:val="Paragraphedeliste"/>
        <w:numPr>
          <w:ilvl w:val="0"/>
          <w:numId w:val="3"/>
        </w:numPr>
        <w:ind w:right="-567"/>
        <w:jc w:val="both"/>
        <w:rPr>
          <w:rFonts w:eastAsiaTheme="minorEastAsia"/>
          <w:sz w:val="24"/>
          <w:szCs w:val="24"/>
        </w:rPr>
      </w:pPr>
      <w:r w:rsidRPr="00771378">
        <w:rPr>
          <w:rFonts w:eastAsiaTheme="minorEastAsia"/>
          <w:sz w:val="24"/>
          <w:szCs w:val="24"/>
        </w:rPr>
        <w:t>Pour les baptêmes, les noms du père et de la mère doivent y figurer ainsi que le jour de la naissance et le nom des parrains et marraines.</w:t>
      </w:r>
    </w:p>
    <w:p w:rsidR="0066785D" w:rsidRPr="00771378" w:rsidRDefault="00A23FBF" w:rsidP="00771378">
      <w:pPr>
        <w:pStyle w:val="Paragraphedeliste"/>
        <w:numPr>
          <w:ilvl w:val="0"/>
          <w:numId w:val="3"/>
        </w:numPr>
        <w:ind w:right="-567"/>
        <w:jc w:val="both"/>
        <w:rPr>
          <w:rFonts w:eastAsiaTheme="minorEastAsia"/>
          <w:sz w:val="24"/>
          <w:szCs w:val="24"/>
        </w:rPr>
      </w:pPr>
      <w:r w:rsidRPr="00771378">
        <w:rPr>
          <w:rFonts w:eastAsiaTheme="minorEastAsia"/>
          <w:sz w:val="24"/>
          <w:szCs w:val="24"/>
        </w:rPr>
        <w:t>Pour les mariages, les noms et âges de</w:t>
      </w:r>
      <w:r w:rsidR="00333EAD" w:rsidRPr="00771378">
        <w:rPr>
          <w:rFonts w:eastAsiaTheme="minorEastAsia"/>
          <w:sz w:val="24"/>
          <w:szCs w:val="24"/>
        </w:rPr>
        <w:t>s</w:t>
      </w:r>
      <w:r w:rsidRPr="00771378">
        <w:rPr>
          <w:rFonts w:eastAsiaTheme="minorEastAsia"/>
          <w:sz w:val="24"/>
          <w:szCs w:val="24"/>
        </w:rPr>
        <w:t xml:space="preserve"> contr</w:t>
      </w:r>
      <w:r w:rsidR="0066785D" w:rsidRPr="00771378">
        <w:rPr>
          <w:rFonts w:eastAsiaTheme="minorEastAsia"/>
          <w:sz w:val="24"/>
          <w:szCs w:val="24"/>
        </w:rPr>
        <w:t>a</w:t>
      </w:r>
      <w:r w:rsidRPr="00771378">
        <w:rPr>
          <w:rFonts w:eastAsiaTheme="minorEastAsia"/>
          <w:sz w:val="24"/>
          <w:szCs w:val="24"/>
        </w:rPr>
        <w:t>ctants</w:t>
      </w:r>
      <w:r w:rsidR="00333EAD" w:rsidRPr="00771378">
        <w:rPr>
          <w:rFonts w:eastAsiaTheme="minorEastAsia"/>
          <w:sz w:val="24"/>
          <w:szCs w:val="24"/>
        </w:rPr>
        <w:t>, le nom</w:t>
      </w:r>
      <w:r w:rsidR="0066785D" w:rsidRPr="00771378">
        <w:rPr>
          <w:rFonts w:eastAsiaTheme="minorEastAsia"/>
          <w:sz w:val="24"/>
          <w:szCs w:val="24"/>
        </w:rPr>
        <w:t xml:space="preserve"> de leurs parents et de quatre témoins sont indiqués.</w:t>
      </w:r>
    </w:p>
    <w:p w:rsidR="003D4F5B" w:rsidRPr="00771378" w:rsidRDefault="0066785D" w:rsidP="00771378">
      <w:pPr>
        <w:pStyle w:val="Paragraphedeliste"/>
        <w:numPr>
          <w:ilvl w:val="0"/>
          <w:numId w:val="3"/>
        </w:numPr>
        <w:ind w:right="-567"/>
        <w:jc w:val="both"/>
        <w:rPr>
          <w:rFonts w:eastAsiaTheme="minorEastAsia"/>
          <w:sz w:val="24"/>
          <w:szCs w:val="24"/>
        </w:rPr>
      </w:pPr>
      <w:r w:rsidRPr="00771378">
        <w:rPr>
          <w:rFonts w:eastAsiaTheme="minorEastAsia"/>
          <w:sz w:val="24"/>
          <w:szCs w:val="24"/>
        </w:rPr>
        <w:t xml:space="preserve">Pour les sépultures, le nom du défunt et la date du décès doivent être </w:t>
      </w:r>
      <w:r w:rsidR="00333EAD" w:rsidRPr="00771378">
        <w:rPr>
          <w:rFonts w:eastAsiaTheme="minorEastAsia"/>
          <w:sz w:val="24"/>
          <w:szCs w:val="24"/>
        </w:rPr>
        <w:t>notés</w:t>
      </w:r>
      <w:r w:rsidRPr="00771378">
        <w:rPr>
          <w:rFonts w:eastAsiaTheme="minorEastAsia"/>
          <w:sz w:val="24"/>
          <w:szCs w:val="24"/>
        </w:rPr>
        <w:t xml:space="preserve"> ainsi que le nom de deux parents ou amis qui signent.</w:t>
      </w:r>
    </w:p>
    <w:p w:rsidR="0066785D" w:rsidRPr="003D4F5B" w:rsidRDefault="0066785D" w:rsidP="00771378">
      <w:pPr>
        <w:ind w:left="-567" w:right="-567" w:firstLine="567"/>
        <w:jc w:val="both"/>
        <w:rPr>
          <w:rFonts w:eastAsiaTheme="minorEastAsia"/>
          <w:sz w:val="24"/>
          <w:szCs w:val="24"/>
        </w:rPr>
      </w:pPr>
      <w:r w:rsidRPr="003D4F5B">
        <w:rPr>
          <w:rFonts w:eastAsiaTheme="minorEastAsia"/>
          <w:sz w:val="24"/>
          <w:szCs w:val="24"/>
        </w:rPr>
        <w:t>Pour voir la déclaration complète du Roy du 9 avril 1736 :</w:t>
      </w:r>
    </w:p>
    <w:p w:rsidR="0066785D" w:rsidRPr="00855F6C" w:rsidRDefault="0066785D" w:rsidP="00771378">
      <w:pPr>
        <w:ind w:left="-567" w:right="-567" w:firstLine="567"/>
        <w:jc w:val="both"/>
        <w:rPr>
          <w:rFonts w:eastAsiaTheme="minorEastAsia"/>
          <w:sz w:val="24"/>
          <w:szCs w:val="24"/>
        </w:rPr>
      </w:pPr>
      <w:r w:rsidRPr="00855F6C">
        <w:rPr>
          <w:rFonts w:eastAsiaTheme="minorEastAsia"/>
          <w:sz w:val="24"/>
          <w:szCs w:val="24"/>
        </w:rPr>
        <w:t>Fr.wikisource.org/wiki/Déclaration_du_Roy_du_9_avril_1736</w:t>
      </w:r>
    </w:p>
    <w:p w:rsidR="003D4F5B" w:rsidRDefault="005A7828" w:rsidP="00771378">
      <w:pPr>
        <w:ind w:left="-567" w:right="-567" w:firstLine="567"/>
        <w:jc w:val="both"/>
        <w:rPr>
          <w:rFonts w:eastAsiaTheme="minorEastAsia"/>
          <w:sz w:val="24"/>
          <w:szCs w:val="24"/>
        </w:rPr>
      </w:pPr>
      <w:r w:rsidRPr="00855F6C">
        <w:rPr>
          <w:rFonts w:eastAsiaTheme="minorEastAsia"/>
          <w:sz w:val="24"/>
          <w:szCs w:val="24"/>
        </w:rPr>
        <w:t>C’est cette déclaration royale qui est à l’</w:t>
      </w:r>
      <w:r w:rsidR="00333EAD">
        <w:rPr>
          <w:rFonts w:eastAsiaTheme="minorEastAsia"/>
          <w:sz w:val="24"/>
          <w:szCs w:val="24"/>
        </w:rPr>
        <w:t>origine de nos actuels registres d’Etat C</w:t>
      </w:r>
      <w:r w:rsidRPr="00855F6C">
        <w:rPr>
          <w:rFonts w:eastAsiaTheme="minorEastAsia"/>
          <w:sz w:val="24"/>
          <w:szCs w:val="24"/>
        </w:rPr>
        <w:t>ivil si ce n’est qu’il</w:t>
      </w:r>
      <w:r w:rsidR="00333EAD">
        <w:rPr>
          <w:rFonts w:eastAsiaTheme="minorEastAsia"/>
          <w:sz w:val="24"/>
          <w:szCs w:val="24"/>
        </w:rPr>
        <w:t>s sont</w:t>
      </w:r>
      <w:r w:rsidR="00333EAD" w:rsidRPr="00333EAD">
        <w:t xml:space="preserve"> </w:t>
      </w:r>
      <w:r w:rsidR="00333EAD" w:rsidRPr="00333EAD">
        <w:rPr>
          <w:rFonts w:eastAsiaTheme="minorEastAsia"/>
          <w:sz w:val="24"/>
          <w:szCs w:val="24"/>
        </w:rPr>
        <w:t>maintenant</w:t>
      </w:r>
      <w:r w:rsidRPr="00855F6C">
        <w:rPr>
          <w:rFonts w:eastAsiaTheme="minorEastAsia"/>
          <w:sz w:val="24"/>
          <w:szCs w:val="24"/>
        </w:rPr>
        <w:t xml:space="preserve"> tenu</w:t>
      </w:r>
      <w:r w:rsidR="00333EAD">
        <w:rPr>
          <w:rFonts w:eastAsiaTheme="minorEastAsia"/>
          <w:sz w:val="24"/>
          <w:szCs w:val="24"/>
        </w:rPr>
        <w:t xml:space="preserve">s </w:t>
      </w:r>
      <w:r w:rsidRPr="00855F6C">
        <w:rPr>
          <w:rFonts w:eastAsiaTheme="minorEastAsia"/>
          <w:sz w:val="24"/>
          <w:szCs w:val="24"/>
        </w:rPr>
        <w:t>par la mairie alors qu’il</w:t>
      </w:r>
      <w:r w:rsidR="00333EAD">
        <w:rPr>
          <w:rFonts w:eastAsiaTheme="minorEastAsia"/>
          <w:sz w:val="24"/>
          <w:szCs w:val="24"/>
        </w:rPr>
        <w:t>s</w:t>
      </w:r>
      <w:r w:rsidRPr="00855F6C">
        <w:rPr>
          <w:rFonts w:eastAsiaTheme="minorEastAsia"/>
          <w:sz w:val="24"/>
          <w:szCs w:val="24"/>
        </w:rPr>
        <w:t xml:space="preserve"> l’étai</w:t>
      </w:r>
      <w:r w:rsidR="00333EAD">
        <w:rPr>
          <w:rFonts w:eastAsiaTheme="minorEastAsia"/>
          <w:sz w:val="24"/>
          <w:szCs w:val="24"/>
        </w:rPr>
        <w:t>en</w:t>
      </w:r>
      <w:r w:rsidRPr="00855F6C">
        <w:rPr>
          <w:rFonts w:eastAsiaTheme="minorEastAsia"/>
          <w:sz w:val="24"/>
          <w:szCs w:val="24"/>
        </w:rPr>
        <w:t>t par le curé de la paroisse.</w:t>
      </w:r>
    </w:p>
    <w:p w:rsidR="005A7828" w:rsidRPr="00855F6C" w:rsidRDefault="005A7828" w:rsidP="00771378">
      <w:pPr>
        <w:ind w:left="-567" w:right="-567" w:firstLine="567"/>
        <w:jc w:val="both"/>
        <w:rPr>
          <w:rFonts w:eastAsiaTheme="minorEastAsia"/>
          <w:sz w:val="24"/>
          <w:szCs w:val="24"/>
        </w:rPr>
      </w:pPr>
      <w:r w:rsidRPr="00855F6C">
        <w:rPr>
          <w:rFonts w:eastAsiaTheme="minorEastAsia"/>
          <w:sz w:val="24"/>
          <w:szCs w:val="24"/>
        </w:rPr>
        <w:t>Les généalogistes peuvent se rendre compte qu’il est plus facile d’exploiter les actes paroissiaux à partir de 1736 qu’avant cette date</w:t>
      </w:r>
      <w:r w:rsidR="00771378">
        <w:rPr>
          <w:rFonts w:eastAsiaTheme="minorEastAsia"/>
          <w:sz w:val="24"/>
          <w:szCs w:val="24"/>
        </w:rPr>
        <w:t xml:space="preserve"> (ils sont plus renseignés)</w:t>
      </w:r>
      <w:r w:rsidRPr="00855F6C">
        <w:rPr>
          <w:rFonts w:eastAsiaTheme="minorEastAsia"/>
          <w:sz w:val="24"/>
          <w:szCs w:val="24"/>
        </w:rPr>
        <w:t>.</w:t>
      </w:r>
    </w:p>
    <w:p w:rsidR="005A7828" w:rsidRPr="00855F6C" w:rsidRDefault="005A7828" w:rsidP="00771378">
      <w:pPr>
        <w:ind w:left="-567" w:right="-567" w:firstLine="567"/>
        <w:jc w:val="both"/>
        <w:rPr>
          <w:rFonts w:eastAsiaTheme="minorEastAsia"/>
          <w:sz w:val="24"/>
          <w:szCs w:val="24"/>
        </w:rPr>
      </w:pPr>
      <w:r w:rsidRPr="00855F6C">
        <w:rPr>
          <w:rFonts w:eastAsiaTheme="minorEastAsia"/>
          <w:sz w:val="24"/>
          <w:szCs w:val="24"/>
        </w:rPr>
        <w:t xml:space="preserve">Mais à partir de la révolution et de Napoléon </w:t>
      </w:r>
      <w:r w:rsidR="000F2997" w:rsidRPr="00855F6C">
        <w:rPr>
          <w:rFonts w:eastAsiaTheme="minorEastAsia"/>
          <w:sz w:val="24"/>
          <w:szCs w:val="24"/>
        </w:rPr>
        <w:t>la recherche</w:t>
      </w:r>
      <w:r w:rsidRPr="00855F6C">
        <w:rPr>
          <w:rFonts w:eastAsiaTheme="minorEastAsia"/>
          <w:sz w:val="24"/>
          <w:szCs w:val="24"/>
        </w:rPr>
        <w:t xml:space="preserve"> s’est encore bien amélioré</w:t>
      </w:r>
      <w:r w:rsidR="000F2997" w:rsidRPr="00855F6C">
        <w:rPr>
          <w:rFonts w:eastAsiaTheme="minorEastAsia"/>
          <w:sz w:val="24"/>
          <w:szCs w:val="24"/>
        </w:rPr>
        <w:t>e</w:t>
      </w:r>
      <w:r w:rsidRPr="00855F6C">
        <w:rPr>
          <w:rFonts w:eastAsiaTheme="minorEastAsia"/>
          <w:sz w:val="24"/>
          <w:szCs w:val="24"/>
        </w:rPr>
        <w:t xml:space="preserve">  notamment avec les tables décennales.  </w:t>
      </w:r>
    </w:p>
    <w:p w:rsidR="005A7828" w:rsidRDefault="005A7828" w:rsidP="0066785D">
      <w:pPr>
        <w:ind w:left="240" w:right="-567"/>
        <w:jc w:val="both"/>
        <w:rPr>
          <w:rFonts w:eastAsiaTheme="minorEastAsia"/>
          <w:sz w:val="28"/>
          <w:szCs w:val="28"/>
        </w:rPr>
      </w:pPr>
    </w:p>
    <w:p w:rsidR="005A7828" w:rsidRPr="0066785D" w:rsidRDefault="005A7828" w:rsidP="0066785D">
      <w:pPr>
        <w:ind w:left="240" w:right="-567"/>
        <w:jc w:val="both"/>
        <w:rPr>
          <w:rFonts w:eastAsiaTheme="minorEastAsia"/>
          <w:sz w:val="28"/>
          <w:szCs w:val="28"/>
        </w:rPr>
      </w:pPr>
    </w:p>
    <w:p w:rsidR="0066785D" w:rsidRPr="0066785D" w:rsidRDefault="0066785D" w:rsidP="0066785D">
      <w:pPr>
        <w:ind w:left="600" w:right="-567"/>
        <w:jc w:val="both"/>
        <w:rPr>
          <w:rFonts w:eastAsiaTheme="minorEastAsia"/>
          <w:sz w:val="28"/>
          <w:szCs w:val="28"/>
        </w:rPr>
      </w:pPr>
    </w:p>
    <w:p w:rsidR="00FB30FD" w:rsidRPr="007C66EF" w:rsidRDefault="00735EBA" w:rsidP="00A23FBF">
      <w:pPr>
        <w:ind w:right="-567"/>
        <w:jc w:val="both"/>
        <w:rPr>
          <w:rFonts w:eastAsiaTheme="minorEastAsia"/>
          <w:sz w:val="28"/>
          <w:szCs w:val="28"/>
        </w:rPr>
      </w:pPr>
      <w:r w:rsidRPr="00735EBA">
        <w:rPr>
          <w:rFonts w:eastAsiaTheme="minorEastAsia"/>
          <w:sz w:val="28"/>
          <w:szCs w:val="28"/>
        </w:rPr>
        <w:t xml:space="preserve"> </w:t>
      </w:r>
      <w:r w:rsidR="00A23FBF">
        <w:rPr>
          <w:rFonts w:eastAsiaTheme="minorEastAsia"/>
          <w:sz w:val="28"/>
          <w:szCs w:val="28"/>
        </w:rPr>
        <w:t xml:space="preserve"> </w:t>
      </w:r>
    </w:p>
    <w:p w:rsidR="00BB5D4B" w:rsidRPr="002D1443" w:rsidRDefault="00BB5D4B" w:rsidP="002D1443">
      <w:pPr>
        <w:ind w:left="-567" w:right="-567" w:firstLine="567"/>
        <w:jc w:val="both"/>
        <w:rPr>
          <w:rFonts w:eastAsiaTheme="minorEastAsia"/>
          <w:sz w:val="28"/>
          <w:szCs w:val="28"/>
        </w:rPr>
      </w:pPr>
      <w:r>
        <w:rPr>
          <w:rFonts w:eastAsiaTheme="minorEastAsia"/>
          <w:sz w:val="28"/>
          <w:szCs w:val="28"/>
        </w:rPr>
        <w:t xml:space="preserve"> </w:t>
      </w:r>
    </w:p>
    <w:sectPr w:rsidR="00BB5D4B" w:rsidRPr="002D1443" w:rsidSect="005A782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5E" w:rsidRDefault="006A235E" w:rsidP="00BC2EB3">
      <w:pPr>
        <w:spacing w:after="0" w:line="240" w:lineRule="auto"/>
      </w:pPr>
      <w:r>
        <w:separator/>
      </w:r>
    </w:p>
  </w:endnote>
  <w:endnote w:type="continuationSeparator" w:id="0">
    <w:p w:rsidR="006A235E" w:rsidRDefault="006A235E" w:rsidP="00BC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5E" w:rsidRDefault="006A235E" w:rsidP="00BC2EB3">
      <w:pPr>
        <w:spacing w:after="0" w:line="240" w:lineRule="auto"/>
      </w:pPr>
      <w:r>
        <w:separator/>
      </w:r>
    </w:p>
  </w:footnote>
  <w:footnote w:type="continuationSeparator" w:id="0">
    <w:p w:rsidR="006A235E" w:rsidRDefault="006A235E" w:rsidP="00BC2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3147"/>
    <w:multiLevelType w:val="hybridMultilevel"/>
    <w:tmpl w:val="92A2B99E"/>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19674131"/>
    <w:multiLevelType w:val="hybridMultilevel"/>
    <w:tmpl w:val="AE4E7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CC2E5C"/>
    <w:multiLevelType w:val="hybridMultilevel"/>
    <w:tmpl w:val="74B2348C"/>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D4"/>
    <w:rsid w:val="000E43D3"/>
    <w:rsid w:val="000F2997"/>
    <w:rsid w:val="001958B5"/>
    <w:rsid w:val="002D1443"/>
    <w:rsid w:val="00333EAD"/>
    <w:rsid w:val="003B1C1A"/>
    <w:rsid w:val="003D4F5B"/>
    <w:rsid w:val="00572836"/>
    <w:rsid w:val="005A7828"/>
    <w:rsid w:val="005F53D4"/>
    <w:rsid w:val="005F730A"/>
    <w:rsid w:val="0060247C"/>
    <w:rsid w:val="0066785D"/>
    <w:rsid w:val="006A235E"/>
    <w:rsid w:val="006B3646"/>
    <w:rsid w:val="00735EBA"/>
    <w:rsid w:val="00771378"/>
    <w:rsid w:val="007C66EF"/>
    <w:rsid w:val="007F31C2"/>
    <w:rsid w:val="00855F6C"/>
    <w:rsid w:val="00A23FBF"/>
    <w:rsid w:val="00A664C6"/>
    <w:rsid w:val="00A7000F"/>
    <w:rsid w:val="00B334A5"/>
    <w:rsid w:val="00B6376C"/>
    <w:rsid w:val="00BB5D4B"/>
    <w:rsid w:val="00BC2EB3"/>
    <w:rsid w:val="00D42519"/>
    <w:rsid w:val="00DA260D"/>
    <w:rsid w:val="00DA3E57"/>
    <w:rsid w:val="00FB30FD"/>
    <w:rsid w:val="00FF3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6376C"/>
    <w:rPr>
      <w:color w:val="808080"/>
    </w:rPr>
  </w:style>
  <w:style w:type="paragraph" w:styleId="Textedebulles">
    <w:name w:val="Balloon Text"/>
    <w:basedOn w:val="Normal"/>
    <w:link w:val="TextedebullesCar"/>
    <w:uiPriority w:val="99"/>
    <w:semiHidden/>
    <w:unhideWhenUsed/>
    <w:rsid w:val="00B637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376C"/>
    <w:rPr>
      <w:rFonts w:ascii="Tahoma" w:hAnsi="Tahoma" w:cs="Tahoma"/>
      <w:sz w:val="16"/>
      <w:szCs w:val="16"/>
    </w:rPr>
  </w:style>
  <w:style w:type="paragraph" w:styleId="En-tte">
    <w:name w:val="header"/>
    <w:basedOn w:val="Normal"/>
    <w:link w:val="En-tteCar"/>
    <w:uiPriority w:val="99"/>
    <w:unhideWhenUsed/>
    <w:rsid w:val="00BC2EB3"/>
    <w:pPr>
      <w:tabs>
        <w:tab w:val="center" w:pos="4536"/>
        <w:tab w:val="right" w:pos="9072"/>
      </w:tabs>
      <w:spacing w:after="0" w:line="240" w:lineRule="auto"/>
    </w:pPr>
  </w:style>
  <w:style w:type="character" w:customStyle="1" w:styleId="En-tteCar">
    <w:name w:val="En-tête Car"/>
    <w:basedOn w:val="Policepardfaut"/>
    <w:link w:val="En-tte"/>
    <w:uiPriority w:val="99"/>
    <w:rsid w:val="00BC2EB3"/>
  </w:style>
  <w:style w:type="paragraph" w:styleId="Pieddepage">
    <w:name w:val="footer"/>
    <w:basedOn w:val="Normal"/>
    <w:link w:val="PieddepageCar"/>
    <w:uiPriority w:val="99"/>
    <w:unhideWhenUsed/>
    <w:rsid w:val="00BC2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2EB3"/>
  </w:style>
  <w:style w:type="paragraph" w:styleId="Paragraphedeliste">
    <w:name w:val="List Paragraph"/>
    <w:basedOn w:val="Normal"/>
    <w:uiPriority w:val="34"/>
    <w:qFormat/>
    <w:rsid w:val="00735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6376C"/>
    <w:rPr>
      <w:color w:val="808080"/>
    </w:rPr>
  </w:style>
  <w:style w:type="paragraph" w:styleId="Textedebulles">
    <w:name w:val="Balloon Text"/>
    <w:basedOn w:val="Normal"/>
    <w:link w:val="TextedebullesCar"/>
    <w:uiPriority w:val="99"/>
    <w:semiHidden/>
    <w:unhideWhenUsed/>
    <w:rsid w:val="00B637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376C"/>
    <w:rPr>
      <w:rFonts w:ascii="Tahoma" w:hAnsi="Tahoma" w:cs="Tahoma"/>
      <w:sz w:val="16"/>
      <w:szCs w:val="16"/>
    </w:rPr>
  </w:style>
  <w:style w:type="paragraph" w:styleId="En-tte">
    <w:name w:val="header"/>
    <w:basedOn w:val="Normal"/>
    <w:link w:val="En-tteCar"/>
    <w:uiPriority w:val="99"/>
    <w:unhideWhenUsed/>
    <w:rsid w:val="00BC2EB3"/>
    <w:pPr>
      <w:tabs>
        <w:tab w:val="center" w:pos="4536"/>
        <w:tab w:val="right" w:pos="9072"/>
      </w:tabs>
      <w:spacing w:after="0" w:line="240" w:lineRule="auto"/>
    </w:pPr>
  </w:style>
  <w:style w:type="character" w:customStyle="1" w:styleId="En-tteCar">
    <w:name w:val="En-tête Car"/>
    <w:basedOn w:val="Policepardfaut"/>
    <w:link w:val="En-tte"/>
    <w:uiPriority w:val="99"/>
    <w:rsid w:val="00BC2EB3"/>
  </w:style>
  <w:style w:type="paragraph" w:styleId="Pieddepage">
    <w:name w:val="footer"/>
    <w:basedOn w:val="Normal"/>
    <w:link w:val="PieddepageCar"/>
    <w:uiPriority w:val="99"/>
    <w:unhideWhenUsed/>
    <w:rsid w:val="00BC2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2EB3"/>
  </w:style>
  <w:style w:type="paragraph" w:styleId="Paragraphedeliste">
    <w:name w:val="List Paragraph"/>
    <w:basedOn w:val="Normal"/>
    <w:uiPriority w:val="34"/>
    <w:qFormat/>
    <w:rsid w:val="0073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F51C-F500-4313-A3D7-E6C4172F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704</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L’état Civil sous l’Ancien Régime</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L’état Civil sous l’Ancien Régime</dc:title>
  <dc:creator>claude LEDEZERT</dc:creator>
  <cp:lastModifiedBy>claude LEDEZERT</cp:lastModifiedBy>
  <cp:revision>15</cp:revision>
  <cp:lastPrinted>2014-03-26T15:10:00Z</cp:lastPrinted>
  <dcterms:created xsi:type="dcterms:W3CDTF">2014-03-25T17:53:00Z</dcterms:created>
  <dcterms:modified xsi:type="dcterms:W3CDTF">2014-03-27T14:23:00Z</dcterms:modified>
</cp:coreProperties>
</file>